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206AC" w:rsidRDefault="000F3249" w:rsidP="002C21DA">
      <w:pPr>
        <w:pStyle w:val="Sinespaciado"/>
        <w:rPr>
          <w:rFonts w:eastAsia="Arial" w:cs="Arial"/>
          <w:b/>
          <w:color w:val="000000"/>
        </w:rPr>
      </w:pPr>
      <w:r w:rsidRPr="003206AC">
        <w:rPr>
          <w:rFonts w:eastAsia="Arial" w:cs="Arial"/>
          <w:b/>
          <w:color w:val="000000"/>
        </w:rPr>
        <w:t xml:space="preserve">TEXTO DEFINITIVO APROBADO EN PRIMER DEBATE DEL </w:t>
      </w:r>
      <w:r w:rsidRPr="003206AC">
        <w:rPr>
          <w:rFonts w:eastAsia="Arial" w:cs="Arial"/>
          <w:b/>
        </w:rPr>
        <w:t xml:space="preserve">PROYECTO DE LEY </w:t>
      </w:r>
      <w:r w:rsidR="00B65CAC" w:rsidRPr="008A7DB4">
        <w:rPr>
          <w:rFonts w:ascii="Arial MT" w:eastAsia="Arial MT" w:hAnsi="Arial MT" w:cs="Arial"/>
          <w:b/>
          <w:bCs/>
          <w:lang w:val="es-ES" w:eastAsia="en-US"/>
        </w:rPr>
        <w:t xml:space="preserve">No. 508 DE 2025 </w:t>
      </w:r>
      <w:r w:rsidR="00B65CAC" w:rsidRPr="008A7DB4">
        <w:rPr>
          <w:rFonts w:ascii="Arial MT" w:eastAsia="Arial MT" w:hAnsi="Arial MT" w:cs="Arial"/>
          <w:b/>
          <w:lang w:val="es-ES" w:eastAsia="en-US"/>
        </w:rPr>
        <w:t xml:space="preserve">CÁMARA </w:t>
      </w:r>
      <w:r w:rsidR="00B65CAC" w:rsidRPr="008A7DB4">
        <w:rPr>
          <w:rFonts w:ascii="Arial MT" w:eastAsia="Arial MT" w:hAnsi="Arial MT" w:cs="Arial"/>
          <w:b/>
          <w:bCs/>
          <w:lang w:val="es-ES" w:eastAsia="en-US"/>
        </w:rPr>
        <w:t>“POR MEDIO DEL CUAL SE RECONOCE UN SUBSIDIO DE TRANSPORTE PARA LOS ESTUDIANTES QUE REALICEN JUDICATURA “AD-HONOREM”.</w:t>
      </w:r>
    </w:p>
    <w:p w:rsidR="00931B69" w:rsidRPr="003206AC" w:rsidRDefault="00931B69" w:rsidP="009A5477">
      <w:pPr>
        <w:pStyle w:val="Sinespaciado"/>
        <w:jc w:val="center"/>
        <w:rPr>
          <w:rFonts w:cs="Arial"/>
        </w:rPr>
      </w:pPr>
    </w:p>
    <w:p w:rsidR="00900D93" w:rsidRPr="00992397" w:rsidRDefault="000F3249" w:rsidP="009A5477">
      <w:pPr>
        <w:pStyle w:val="Sinespaciado"/>
        <w:jc w:val="center"/>
        <w:rPr>
          <w:rFonts w:cs="Arial"/>
          <w:sz w:val="21"/>
          <w:szCs w:val="21"/>
        </w:rPr>
      </w:pPr>
      <w:r w:rsidRPr="00992397">
        <w:rPr>
          <w:rFonts w:cs="Arial"/>
          <w:sz w:val="21"/>
          <w:szCs w:val="21"/>
        </w:rPr>
        <w:t>(Aprobado en la</w:t>
      </w:r>
      <w:r w:rsidR="00722B7D" w:rsidRPr="00992397">
        <w:rPr>
          <w:rFonts w:cs="Arial"/>
          <w:sz w:val="21"/>
          <w:szCs w:val="21"/>
        </w:rPr>
        <w:t xml:space="preserve"> sesión</w:t>
      </w:r>
      <w:r w:rsidR="00874E4E" w:rsidRPr="00992397">
        <w:rPr>
          <w:rFonts w:cs="Arial"/>
          <w:sz w:val="21"/>
          <w:szCs w:val="21"/>
        </w:rPr>
        <w:t xml:space="preserve"> presencial </w:t>
      </w:r>
      <w:r w:rsidR="00722B7D" w:rsidRPr="00992397">
        <w:rPr>
          <w:rFonts w:cs="Arial"/>
          <w:sz w:val="21"/>
          <w:szCs w:val="21"/>
        </w:rPr>
        <w:t>del</w:t>
      </w:r>
      <w:r w:rsidR="00874E4E" w:rsidRPr="00992397">
        <w:rPr>
          <w:rFonts w:cs="Arial"/>
          <w:sz w:val="21"/>
          <w:szCs w:val="21"/>
        </w:rPr>
        <w:t xml:space="preserve"> </w:t>
      </w:r>
      <w:r w:rsidR="007534E3">
        <w:rPr>
          <w:rFonts w:cs="Arial"/>
          <w:sz w:val="21"/>
          <w:szCs w:val="21"/>
        </w:rPr>
        <w:t xml:space="preserve">3 de junio </w:t>
      </w:r>
      <w:r w:rsidR="00344B4D" w:rsidRPr="00992397">
        <w:rPr>
          <w:rFonts w:cs="Arial"/>
          <w:sz w:val="21"/>
          <w:szCs w:val="21"/>
        </w:rPr>
        <w:t>de 202</w:t>
      </w:r>
      <w:r w:rsidR="00D7787B" w:rsidRPr="00992397">
        <w:rPr>
          <w:rFonts w:cs="Arial"/>
          <w:sz w:val="21"/>
          <w:szCs w:val="21"/>
        </w:rPr>
        <w:t>5</w:t>
      </w:r>
      <w:r w:rsidR="009A5477" w:rsidRPr="00992397">
        <w:rPr>
          <w:rFonts w:cs="Arial"/>
          <w:sz w:val="21"/>
          <w:szCs w:val="21"/>
        </w:rPr>
        <w:t xml:space="preserve">, Comisión VII Constitucional </w:t>
      </w:r>
      <w:r w:rsidRPr="00992397">
        <w:rPr>
          <w:rFonts w:cs="Arial"/>
          <w:sz w:val="21"/>
          <w:szCs w:val="21"/>
        </w:rPr>
        <w:t xml:space="preserve">Permanente de la H. Cámara de Representantes, </w:t>
      </w:r>
      <w:r w:rsidR="009A5477" w:rsidRPr="00992397">
        <w:rPr>
          <w:rFonts w:cs="Arial"/>
          <w:sz w:val="21"/>
          <w:szCs w:val="21"/>
        </w:rPr>
        <w:t>a</w:t>
      </w:r>
      <w:r w:rsidRPr="00992397">
        <w:rPr>
          <w:rFonts w:cs="Arial"/>
          <w:sz w:val="21"/>
          <w:szCs w:val="21"/>
        </w:rPr>
        <w:t xml:space="preserve">cta No. </w:t>
      </w:r>
      <w:r w:rsidR="008654CA" w:rsidRPr="00992397">
        <w:rPr>
          <w:rFonts w:cs="Arial"/>
          <w:sz w:val="21"/>
          <w:szCs w:val="21"/>
        </w:rPr>
        <w:t>3</w:t>
      </w:r>
      <w:r w:rsidR="007534E3">
        <w:rPr>
          <w:rFonts w:cs="Arial"/>
          <w:sz w:val="21"/>
          <w:szCs w:val="21"/>
        </w:rPr>
        <w:t>4</w:t>
      </w:r>
      <w:r w:rsidRPr="00992397">
        <w:rPr>
          <w:rFonts w:cs="Arial"/>
          <w:sz w:val="21"/>
          <w:szCs w:val="21"/>
        </w:rPr>
        <w:t>)</w:t>
      </w:r>
    </w:p>
    <w:p w:rsidR="00900D93" w:rsidRPr="00992397" w:rsidRDefault="000F3249" w:rsidP="00D410FE">
      <w:pPr>
        <w:spacing w:before="240" w:after="0" w:line="240" w:lineRule="atLeast"/>
        <w:jc w:val="center"/>
        <w:rPr>
          <w:rFonts w:ascii="Arial" w:eastAsia="Arial" w:hAnsi="Arial" w:cs="Arial"/>
          <w:b/>
          <w:sz w:val="21"/>
          <w:szCs w:val="21"/>
        </w:rPr>
      </w:pPr>
      <w:r w:rsidRPr="00992397">
        <w:rPr>
          <w:rFonts w:ascii="Arial" w:eastAsia="Arial" w:hAnsi="Arial" w:cs="Arial"/>
          <w:b/>
          <w:sz w:val="21"/>
          <w:szCs w:val="21"/>
        </w:rPr>
        <w:t>EL CONGRESO DE COLOMBIA</w:t>
      </w:r>
    </w:p>
    <w:p w:rsidR="00900D93" w:rsidRPr="00992397" w:rsidRDefault="000F3249" w:rsidP="00D410FE">
      <w:pPr>
        <w:spacing w:before="240" w:after="0" w:line="240" w:lineRule="atLeast"/>
        <w:jc w:val="center"/>
        <w:rPr>
          <w:rFonts w:ascii="Arial" w:eastAsia="Arial" w:hAnsi="Arial" w:cs="Arial"/>
          <w:b/>
          <w:sz w:val="21"/>
          <w:szCs w:val="21"/>
        </w:rPr>
      </w:pPr>
      <w:r w:rsidRPr="00992397">
        <w:rPr>
          <w:rFonts w:ascii="Arial" w:eastAsia="Arial" w:hAnsi="Arial" w:cs="Arial"/>
          <w:b/>
          <w:sz w:val="21"/>
          <w:szCs w:val="21"/>
        </w:rPr>
        <w:t>DECRETA:</w:t>
      </w:r>
    </w:p>
    <w:p w:rsidR="00D410FE" w:rsidRPr="00992397" w:rsidRDefault="00D410FE" w:rsidP="00D410FE">
      <w:pPr>
        <w:pStyle w:val="Sinespaciado"/>
        <w:spacing w:line="240" w:lineRule="atLeast"/>
        <w:rPr>
          <w:rFonts w:cs="Arial"/>
          <w:sz w:val="21"/>
          <w:szCs w:val="21"/>
        </w:rPr>
      </w:pPr>
    </w:p>
    <w:p w:rsidR="004B6428" w:rsidRPr="007F2441" w:rsidRDefault="004B6428" w:rsidP="004B6428">
      <w:pPr>
        <w:pStyle w:val="Sinespaciado"/>
        <w:rPr>
          <w:rFonts w:cs="Arial"/>
        </w:rPr>
      </w:pPr>
      <w:r w:rsidRPr="007F2441">
        <w:rPr>
          <w:rFonts w:cs="Arial"/>
          <w:b/>
        </w:rPr>
        <w:t xml:space="preserve">Artículo 1. Objeto. </w:t>
      </w:r>
      <w:r w:rsidRPr="007F2441">
        <w:rPr>
          <w:rFonts w:cs="Arial"/>
        </w:rPr>
        <w:t xml:space="preserve">Por medio de la presente se reconoce un subsidio de transporte </w:t>
      </w:r>
      <w:r>
        <w:rPr>
          <w:rFonts w:cs="Arial"/>
        </w:rPr>
        <w:t xml:space="preserve">y alimentación </w:t>
      </w:r>
      <w:r w:rsidRPr="007F2441">
        <w:rPr>
          <w:rFonts w:cs="Arial"/>
        </w:rPr>
        <w:t xml:space="preserve">a los estudiantes del programa de Derecho, </w:t>
      </w:r>
      <w:proofErr w:type="gramStart"/>
      <w:r w:rsidRPr="007F2441">
        <w:rPr>
          <w:rFonts w:cs="Arial"/>
        </w:rPr>
        <w:t>que</w:t>
      </w:r>
      <w:proofErr w:type="gramEnd"/>
      <w:r w:rsidRPr="007F2441">
        <w:rPr>
          <w:rFonts w:cs="Arial"/>
        </w:rPr>
        <w:t xml:space="preserve"> como requisito para adquirir el título de abogado, opten por realizar judicatura “ad-honorem” en las entidades autorizadas por la Ley. </w:t>
      </w:r>
    </w:p>
    <w:p w:rsidR="004B6428" w:rsidRDefault="004B6428" w:rsidP="004B6428">
      <w:pPr>
        <w:pStyle w:val="Sinespaciado"/>
        <w:rPr>
          <w:rFonts w:cs="Arial"/>
          <w:b/>
          <w:color w:val="000000"/>
        </w:rPr>
      </w:pPr>
    </w:p>
    <w:p w:rsidR="004B6428" w:rsidRPr="007F2441" w:rsidRDefault="004B6428" w:rsidP="004B6428">
      <w:pPr>
        <w:pStyle w:val="Sinespaciado"/>
        <w:rPr>
          <w:rFonts w:cs="Arial"/>
          <w:color w:val="000000"/>
        </w:rPr>
      </w:pPr>
      <w:r w:rsidRPr="007F2441">
        <w:rPr>
          <w:rFonts w:cs="Arial"/>
          <w:b/>
          <w:color w:val="000000"/>
        </w:rPr>
        <w:t xml:space="preserve">Artículo 2. </w:t>
      </w:r>
      <w:r w:rsidRPr="007F2441">
        <w:rPr>
          <w:rFonts w:cs="Arial"/>
          <w:color w:val="000000"/>
        </w:rPr>
        <w:t xml:space="preserve">Modifíquese el artículo 4 de la Ley 2043 de 2020, el cual quedará así. </w:t>
      </w:r>
    </w:p>
    <w:p w:rsidR="004B6428" w:rsidRDefault="004B6428" w:rsidP="004B6428">
      <w:pPr>
        <w:pStyle w:val="Sinespaciado"/>
        <w:rPr>
          <w:rFonts w:cs="Arial"/>
          <w:b/>
          <w:color w:val="000000"/>
          <w:shd w:val="clear" w:color="auto" w:fill="FFFFFF"/>
        </w:rPr>
      </w:pPr>
    </w:p>
    <w:p w:rsidR="004B6428" w:rsidRPr="007F2441" w:rsidRDefault="004B6428" w:rsidP="004B6428">
      <w:pPr>
        <w:pStyle w:val="Sinespaciado"/>
        <w:rPr>
          <w:rFonts w:cs="Arial"/>
          <w:color w:val="000000"/>
          <w:shd w:val="clear" w:color="auto" w:fill="FFFFFF"/>
        </w:rPr>
      </w:pPr>
      <w:r w:rsidRPr="007F2441">
        <w:rPr>
          <w:rFonts w:cs="Arial"/>
          <w:b/>
          <w:color w:val="000000"/>
          <w:shd w:val="clear" w:color="auto" w:fill="FFFFFF"/>
        </w:rPr>
        <w:t>“ARTÍCULO 4º.</w:t>
      </w:r>
      <w:r w:rsidRPr="007F2441">
        <w:rPr>
          <w:rFonts w:cs="Arial"/>
          <w:color w:val="000000"/>
          <w:shd w:val="clear" w:color="auto" w:fill="FFFFFF"/>
        </w:rPr>
        <w:t> </w:t>
      </w:r>
      <w:r w:rsidRPr="007F2441">
        <w:rPr>
          <w:rFonts w:cs="Arial"/>
          <w:b/>
          <w:color w:val="000000"/>
          <w:shd w:val="clear" w:color="auto" w:fill="FFFFFF"/>
        </w:rPr>
        <w:t>Subsidio de transporte.</w:t>
      </w:r>
      <w:r w:rsidRPr="007F2441">
        <w:rPr>
          <w:rFonts w:cs="Arial"/>
          <w:color w:val="000000"/>
          <w:shd w:val="clear" w:color="auto" w:fill="FFFFFF"/>
        </w:rPr>
        <w:t xml:space="preserve"> Las entidades públicas, </w:t>
      </w:r>
      <w:r>
        <w:rPr>
          <w:rFonts w:cs="Arial"/>
          <w:color w:val="000000"/>
          <w:shd w:val="clear" w:color="auto" w:fill="FFFFFF"/>
        </w:rPr>
        <w:t xml:space="preserve">las entidades que cumplen función pública o prestan servicios públicos, </w:t>
      </w:r>
      <w:r w:rsidRPr="007F2441">
        <w:rPr>
          <w:rFonts w:cs="Arial"/>
          <w:color w:val="000000"/>
          <w:shd w:val="clear" w:color="auto" w:fill="FFFFFF"/>
        </w:rPr>
        <w:t xml:space="preserve">de manera progresiva y atendiendo al principio de la sostenibilidad fiscal, </w:t>
      </w:r>
      <w:r w:rsidRPr="004B6428">
        <w:rPr>
          <w:rFonts w:cs="Arial"/>
          <w:color w:val="000000"/>
          <w:shd w:val="clear" w:color="auto" w:fill="FFFFFF"/>
        </w:rPr>
        <w:t>deberán incluir dentro de sus gastos de funcionamiento un rubro que tendrá como finalidad el reconocimiento de un subsidio mensual de transporte y alimentación para los estudiantes que realicen su judicatura “ad-honorem”,</w:t>
      </w:r>
      <w:r w:rsidRPr="007F2441">
        <w:rPr>
          <w:rFonts w:cs="Arial"/>
          <w:color w:val="000000"/>
          <w:shd w:val="clear" w:color="auto" w:fill="FFFFFF"/>
        </w:rPr>
        <w:t xml:space="preserve"> práctica profesional, tecnológica, técnica o de cualquiera de las modalidades de formación profesional y demás formas de etapa productiva establecida por el SENA, en cada una de las entidades.</w:t>
      </w:r>
    </w:p>
    <w:p w:rsidR="004B6428" w:rsidRPr="007F2441" w:rsidRDefault="004B6428" w:rsidP="004B6428">
      <w:pPr>
        <w:pStyle w:val="Sinespaciado"/>
        <w:rPr>
          <w:rFonts w:cs="Arial"/>
          <w:color w:val="000000"/>
        </w:rPr>
      </w:pPr>
    </w:p>
    <w:p w:rsidR="004B6428" w:rsidRPr="007F2441" w:rsidRDefault="004B6428" w:rsidP="004B6428">
      <w:pPr>
        <w:pStyle w:val="Sinespaciado"/>
        <w:rPr>
          <w:rFonts w:cs="Arial"/>
          <w:color w:val="000000"/>
        </w:rPr>
      </w:pPr>
      <w:r w:rsidRPr="007F2441">
        <w:rPr>
          <w:rFonts w:cs="Arial"/>
          <w:b/>
          <w:color w:val="000000"/>
        </w:rPr>
        <w:t>PARÁGRAFO 1º.</w:t>
      </w:r>
      <w:r w:rsidRPr="007F2441">
        <w:rPr>
          <w:rFonts w:cs="Arial"/>
          <w:color w:val="000000"/>
        </w:rPr>
        <w:t> En todo caso el subsidio correspondiente no podrá ser superior a un (1) salario mínimo mensual legal vigente y su desembolso deberá estar soportado con base en el cumplimiento efectivo de las obligaciones impuestas en la práctica laboral, certificado por el supervisor asignado. Salvo disposición en contrario pactada expresamente entre las partes, dicha suma de dinero no será constitutiva de salario.</w:t>
      </w:r>
    </w:p>
    <w:p w:rsidR="004B6428" w:rsidRPr="007F2441" w:rsidRDefault="004B6428" w:rsidP="004B6428">
      <w:pPr>
        <w:pStyle w:val="Sinespaciado"/>
        <w:rPr>
          <w:rFonts w:cs="Arial"/>
          <w:color w:val="000000"/>
        </w:rPr>
      </w:pPr>
    </w:p>
    <w:p w:rsidR="004B6428" w:rsidRPr="007F2441" w:rsidRDefault="004B6428" w:rsidP="004B6428">
      <w:pPr>
        <w:pStyle w:val="Sinespaciado"/>
        <w:rPr>
          <w:rFonts w:cs="Arial"/>
          <w:color w:val="000000"/>
          <w:shd w:val="clear" w:color="auto" w:fill="FFFFFF"/>
        </w:rPr>
      </w:pPr>
      <w:r w:rsidRPr="007F2441">
        <w:rPr>
          <w:rFonts w:cs="Arial"/>
          <w:b/>
          <w:color w:val="000000"/>
        </w:rPr>
        <w:t>PARÁGRAFO 2º.</w:t>
      </w:r>
      <w:r w:rsidRPr="007F2441">
        <w:rPr>
          <w:rFonts w:cs="Arial"/>
          <w:color w:val="000000"/>
        </w:rPr>
        <w:t> El pago del subsidio para transporte y alimentación, no excluye al empleador de la responsabilidad de afiliación a la ARL y del cubrimiento con póliza de responsabilidad civil a terceros según reglamentación del sector por cada practicante.</w:t>
      </w:r>
      <w:r w:rsidRPr="007F2441">
        <w:rPr>
          <w:rFonts w:cs="Arial"/>
          <w:color w:val="000000"/>
          <w:shd w:val="clear" w:color="auto" w:fill="FFFFFF"/>
        </w:rPr>
        <w:t>”</w:t>
      </w:r>
    </w:p>
    <w:p w:rsidR="004B6428" w:rsidRPr="007F2441" w:rsidRDefault="004B6428" w:rsidP="004B6428">
      <w:pPr>
        <w:pStyle w:val="Sinespaciado"/>
        <w:rPr>
          <w:rFonts w:cs="Arial"/>
        </w:rPr>
      </w:pPr>
    </w:p>
    <w:p w:rsidR="004B6428" w:rsidRPr="007F2441" w:rsidRDefault="004B6428" w:rsidP="004B6428">
      <w:pPr>
        <w:pStyle w:val="Sinespaciado"/>
        <w:rPr>
          <w:rFonts w:cs="Arial"/>
          <w:color w:val="333333"/>
          <w:shd w:val="clear" w:color="auto" w:fill="FFFFFF"/>
        </w:rPr>
      </w:pPr>
      <w:r w:rsidRPr="007F2441">
        <w:rPr>
          <w:rFonts w:cs="Arial"/>
          <w:b/>
        </w:rPr>
        <w:t>Artículo 3.</w:t>
      </w:r>
      <w:r w:rsidRPr="007F2441">
        <w:rPr>
          <w:rFonts w:cs="Arial"/>
        </w:rPr>
        <w:t xml:space="preserve"> </w:t>
      </w:r>
      <w:r w:rsidRPr="007F2441">
        <w:rPr>
          <w:rFonts w:cs="Arial"/>
          <w:b/>
        </w:rPr>
        <w:t>Condiciones para el reconocimiento del subsidio de transporte.</w:t>
      </w:r>
      <w:r w:rsidRPr="007F2441">
        <w:rPr>
          <w:rFonts w:cs="Arial"/>
        </w:rPr>
        <w:t xml:space="preserve"> El reconocimiento del subsidio de transporte, en los términos de que trata esta ley, no </w:t>
      </w:r>
      <w:r w:rsidRPr="007F2441">
        <w:rPr>
          <w:rFonts w:cs="Arial"/>
          <w:color w:val="333333"/>
          <w:shd w:val="clear" w:color="auto" w:fill="FFFFFF"/>
        </w:rPr>
        <w:t>constituye una relación de laboral ni una relación legal y reglamentaria. En todo caso, se deberá garantizar la afiliación del Judicante “ad-Honorem” a la Administradora de Riesgos Laborales (ARL).</w:t>
      </w:r>
    </w:p>
    <w:p w:rsidR="004B6428" w:rsidRDefault="004B6428" w:rsidP="004B6428">
      <w:pPr>
        <w:pStyle w:val="Sinespaciado"/>
        <w:rPr>
          <w:rFonts w:cs="Arial"/>
          <w:color w:val="333333"/>
          <w:shd w:val="clear" w:color="auto" w:fill="FFFFFF"/>
        </w:rPr>
      </w:pPr>
    </w:p>
    <w:p w:rsidR="004B6428" w:rsidRPr="007F2441" w:rsidRDefault="004B6428" w:rsidP="004B6428">
      <w:pPr>
        <w:pStyle w:val="Sinespaciado"/>
        <w:rPr>
          <w:rFonts w:cs="Arial"/>
          <w:color w:val="333333"/>
          <w:shd w:val="clear" w:color="auto" w:fill="FFFFFF"/>
        </w:rPr>
      </w:pPr>
      <w:r w:rsidRPr="007F2441">
        <w:rPr>
          <w:rFonts w:cs="Arial"/>
          <w:color w:val="333333"/>
          <w:shd w:val="clear" w:color="auto" w:fill="FFFFFF"/>
        </w:rPr>
        <w:t>Para el reconocimiento  de este subsidio la entidad pública del orden nacional, departamental</w:t>
      </w:r>
      <w:r>
        <w:rPr>
          <w:rFonts w:cs="Arial"/>
          <w:color w:val="333333"/>
          <w:shd w:val="clear" w:color="auto" w:fill="FFFFFF"/>
        </w:rPr>
        <w:t>, distrital</w:t>
      </w:r>
      <w:r w:rsidRPr="007F2441">
        <w:rPr>
          <w:rFonts w:cs="Arial"/>
          <w:color w:val="333333"/>
          <w:shd w:val="clear" w:color="auto" w:fill="FFFFFF"/>
        </w:rPr>
        <w:t xml:space="preserve"> o municipal deberá garantizar que el o la judicante desempeñe funciones jurídicas en forma durante nueve (9) meses en forma continua o discontinua, s</w:t>
      </w:r>
      <w:r w:rsidRPr="007F2441">
        <w:rPr>
          <w:rFonts w:cs="Arial"/>
          <w:shd w:val="clear" w:color="auto" w:fill="FFFFFF"/>
        </w:rPr>
        <w:t xml:space="preserve">alvo lo dispuesto </w:t>
      </w:r>
      <w:r>
        <w:rPr>
          <w:rFonts w:cs="Arial"/>
          <w:shd w:val="clear" w:color="auto" w:fill="FFFFFF"/>
        </w:rPr>
        <w:t>en las normas especiales vigentes</w:t>
      </w:r>
      <w:r w:rsidRPr="007F2441">
        <w:rPr>
          <w:rFonts w:cs="Arial"/>
          <w:shd w:val="clear" w:color="auto" w:fill="FFFFFF"/>
        </w:rPr>
        <w:t>, en cuyo caso el término de la judicatura será de seis (6) meses conforme a lo establecido en el Decreto Ley 2636 de 2004, y siete (7) meses conforme a lo establecido en Ley 1395 de 2010, Artículo 50, respectivamente.</w:t>
      </w:r>
    </w:p>
    <w:p w:rsidR="004B6428" w:rsidRDefault="004B6428" w:rsidP="004B6428">
      <w:pPr>
        <w:pStyle w:val="Sinespaciado"/>
        <w:rPr>
          <w:rFonts w:eastAsiaTheme="minorHAnsi" w:cs="Arial"/>
          <w:color w:val="101010"/>
          <w:lang w:val="es-ES_tradnl"/>
          <w14:ligatures w14:val="standardContextual"/>
        </w:rPr>
      </w:pPr>
      <w:r w:rsidRPr="007F2441">
        <w:rPr>
          <w:rFonts w:cs="Arial"/>
          <w:b/>
          <w:color w:val="333333"/>
          <w:shd w:val="clear" w:color="auto" w:fill="FFFFFF"/>
        </w:rPr>
        <w:lastRenderedPageBreak/>
        <w:t>Artículo 4.</w:t>
      </w:r>
      <w:r w:rsidRPr="007F2441">
        <w:rPr>
          <w:rFonts w:cs="Arial"/>
          <w:color w:val="333333"/>
          <w:shd w:val="clear" w:color="auto" w:fill="FFFFFF"/>
        </w:rPr>
        <w:t xml:space="preserve"> </w:t>
      </w:r>
      <w:r w:rsidRPr="007F2441">
        <w:rPr>
          <w:rFonts w:eastAsiaTheme="minorHAnsi" w:cs="Arial"/>
          <w:color w:val="101010"/>
          <w:lang w:val="es-ES_tradnl"/>
          <w14:ligatures w14:val="standardContextual"/>
        </w:rPr>
        <w:t>Las disposiciones contenidas la</w:t>
      </w:r>
      <w:r w:rsidRPr="007F2441">
        <w:rPr>
          <w:rFonts w:eastAsiaTheme="minorHAnsi" w:cs="Arial"/>
          <w:b/>
          <w:color w:val="101010"/>
          <w:lang w:val="es-ES_tradnl"/>
          <w14:ligatures w14:val="standardContextual"/>
        </w:rPr>
        <w:t xml:space="preserve"> </w:t>
      </w:r>
      <w:r w:rsidRPr="007F2441">
        <w:rPr>
          <w:rFonts w:eastAsiaTheme="minorHAnsi" w:cs="Arial"/>
          <w:color w:val="101010"/>
          <w:lang w:val="es-ES_tradnl"/>
          <w14:ligatures w14:val="standardContextual"/>
        </w:rPr>
        <w:t>presente ley se implementarán teniendo</w:t>
      </w:r>
      <w:r w:rsidRPr="007F2441">
        <w:rPr>
          <w:rFonts w:eastAsiaTheme="minorHAnsi" w:cs="Arial"/>
          <w:b/>
          <w:color w:val="101010"/>
          <w:lang w:val="es-ES_tradnl"/>
          <w14:ligatures w14:val="standardContextual"/>
        </w:rPr>
        <w:t xml:space="preserve"> </w:t>
      </w:r>
      <w:r w:rsidRPr="007F2441">
        <w:rPr>
          <w:rFonts w:eastAsiaTheme="minorHAnsi" w:cs="Arial"/>
          <w:color w:val="101010"/>
          <w:lang w:val="es-ES_tradnl"/>
          <w14:ligatures w14:val="standardContextual"/>
        </w:rPr>
        <w:t>en cuenta la situación fiscal del país, en aplicación</w:t>
      </w:r>
      <w:r w:rsidRPr="007F2441">
        <w:rPr>
          <w:rFonts w:eastAsiaTheme="minorHAnsi" w:cs="Arial"/>
          <w:b/>
          <w:color w:val="101010"/>
          <w:lang w:val="es-ES_tradnl"/>
          <w14:ligatures w14:val="standardContextual"/>
        </w:rPr>
        <w:t xml:space="preserve"> </w:t>
      </w:r>
      <w:r w:rsidRPr="007F2441">
        <w:rPr>
          <w:rFonts w:eastAsiaTheme="minorHAnsi" w:cs="Arial"/>
          <w:color w:val="101010"/>
          <w:lang w:val="es-ES_tradnl"/>
          <w14:ligatures w14:val="standardContextual"/>
        </w:rPr>
        <w:t>de los lineamientos de disponibilidad presupuestal</w:t>
      </w:r>
      <w:r w:rsidRPr="007F2441">
        <w:rPr>
          <w:rFonts w:eastAsiaTheme="minorHAnsi" w:cs="Arial"/>
          <w:b/>
          <w:color w:val="101010"/>
          <w:lang w:val="es-ES_tradnl"/>
          <w14:ligatures w14:val="standardContextual"/>
        </w:rPr>
        <w:t xml:space="preserve"> </w:t>
      </w:r>
      <w:r w:rsidRPr="007F2441">
        <w:rPr>
          <w:rFonts w:eastAsiaTheme="minorHAnsi" w:cs="Arial"/>
          <w:color w:val="101010"/>
          <w:lang w:val="es-ES_tradnl"/>
          <w14:ligatures w14:val="standardContextual"/>
        </w:rPr>
        <w:t>establecidos en las leyes orgánicas de presupuesto,</w:t>
      </w:r>
      <w:r w:rsidRPr="007F2441">
        <w:rPr>
          <w:rFonts w:eastAsiaTheme="minorHAnsi" w:cs="Arial"/>
          <w:b/>
          <w:color w:val="101010"/>
          <w:lang w:val="es-ES_tradnl"/>
          <w14:ligatures w14:val="standardContextual"/>
        </w:rPr>
        <w:t xml:space="preserve"> </w:t>
      </w:r>
      <w:r w:rsidRPr="007F2441">
        <w:rPr>
          <w:rFonts w:eastAsiaTheme="minorHAnsi" w:cs="Arial"/>
          <w:color w:val="101010"/>
          <w:lang w:val="es-ES_tradnl"/>
          <w14:ligatures w14:val="standardContextual"/>
        </w:rPr>
        <w:t>en consonancia con las previsiones respectivas en</w:t>
      </w:r>
      <w:r w:rsidRPr="007F2441">
        <w:rPr>
          <w:rFonts w:eastAsiaTheme="minorHAnsi" w:cs="Arial"/>
          <w:b/>
          <w:color w:val="101010"/>
          <w:lang w:val="es-ES_tradnl"/>
          <w14:ligatures w14:val="standardContextual"/>
        </w:rPr>
        <w:t xml:space="preserve"> </w:t>
      </w:r>
      <w:r w:rsidRPr="007F2441">
        <w:rPr>
          <w:rFonts w:eastAsiaTheme="minorHAnsi" w:cs="Arial"/>
          <w:color w:val="101010"/>
          <w:lang w:val="es-ES_tradnl"/>
          <w14:ligatures w14:val="standardContextual"/>
        </w:rPr>
        <w:t>el Plan Nacional de Desarrollo, el Marco Fiscal de</w:t>
      </w:r>
      <w:r w:rsidRPr="007F2441">
        <w:rPr>
          <w:rFonts w:eastAsiaTheme="minorHAnsi" w:cs="Arial"/>
          <w:b/>
          <w:color w:val="101010"/>
          <w:lang w:val="es-ES_tradnl"/>
          <w14:ligatures w14:val="standardContextual"/>
        </w:rPr>
        <w:t xml:space="preserve"> </w:t>
      </w:r>
      <w:r w:rsidRPr="007F2441">
        <w:rPr>
          <w:rFonts w:eastAsiaTheme="minorHAnsi" w:cs="Arial"/>
          <w:color w:val="101010"/>
          <w:lang w:val="es-ES_tradnl"/>
          <w14:ligatures w14:val="standardContextual"/>
        </w:rPr>
        <w:t>Mediano Plazo y Marco de Gasto de las entidades, así como el principio de sostenibilidad fiscal.</w:t>
      </w:r>
    </w:p>
    <w:p w:rsidR="00974B4F" w:rsidRDefault="00974B4F" w:rsidP="004B6428">
      <w:pPr>
        <w:pStyle w:val="Sinespaciado"/>
        <w:rPr>
          <w:rFonts w:eastAsiaTheme="minorHAnsi" w:cs="Arial"/>
          <w:color w:val="101010"/>
          <w:lang w:val="es-ES_tradnl"/>
          <w14:ligatures w14:val="standardContextual"/>
        </w:rPr>
      </w:pPr>
    </w:p>
    <w:p w:rsidR="00974B4F" w:rsidRPr="00586C7C" w:rsidRDefault="00974B4F" w:rsidP="00974B4F">
      <w:pPr>
        <w:pStyle w:val="Sinespaciado"/>
        <w:rPr>
          <w:rFonts w:cs="Arial"/>
        </w:rPr>
      </w:pPr>
      <w:r w:rsidRPr="00586C7C">
        <w:rPr>
          <w:rFonts w:cs="Arial"/>
          <w:b/>
        </w:rPr>
        <w:t xml:space="preserve">Artículo </w:t>
      </w:r>
      <w:r>
        <w:rPr>
          <w:rFonts w:cs="Arial"/>
          <w:b/>
        </w:rPr>
        <w:t>5</w:t>
      </w:r>
      <w:r w:rsidRPr="00586C7C">
        <w:rPr>
          <w:rFonts w:cs="Arial"/>
          <w:b/>
        </w:rPr>
        <w:t>. Seguimiento y evaluación</w:t>
      </w:r>
      <w:r w:rsidRPr="00586C7C">
        <w:rPr>
          <w:rFonts w:cs="Arial"/>
        </w:rPr>
        <w:t xml:space="preserve">. El Ministerio de Educación Nacional, en coordinación con el Ministerio de Justicia y del Derecho, realizará un seguimiento anual a la implementación de esta ley, evaluando su impacto en la calidad de la formación de los abogados y en el funcionamiento de las entidades que acogen judicantes. </w:t>
      </w:r>
    </w:p>
    <w:p w:rsidR="00974B4F" w:rsidRDefault="00974B4F" w:rsidP="00974B4F">
      <w:pPr>
        <w:pStyle w:val="Sinespaciado"/>
        <w:rPr>
          <w:rFonts w:cs="Arial"/>
        </w:rPr>
      </w:pPr>
    </w:p>
    <w:p w:rsidR="00974B4F" w:rsidRPr="00586C7C" w:rsidRDefault="00974B4F" w:rsidP="00974B4F">
      <w:pPr>
        <w:pStyle w:val="Sinespaciado"/>
        <w:rPr>
          <w:rFonts w:cs="Arial"/>
        </w:rPr>
      </w:pPr>
      <w:r w:rsidRPr="00586C7C">
        <w:rPr>
          <w:rFonts w:cs="Arial"/>
        </w:rPr>
        <w:t>De dicha evaluación se presentará un informe anual al Congreso de la República.</w:t>
      </w:r>
    </w:p>
    <w:p w:rsidR="00974B4F" w:rsidRPr="007F2441" w:rsidRDefault="00974B4F" w:rsidP="004B6428">
      <w:pPr>
        <w:pStyle w:val="Sinespaciado"/>
        <w:rPr>
          <w:rFonts w:eastAsiaTheme="minorHAnsi" w:cs="Arial"/>
          <w:color w:val="101010"/>
          <w:lang w:val="es-ES_tradnl"/>
          <w14:ligatures w14:val="standardContextual"/>
        </w:rPr>
      </w:pPr>
    </w:p>
    <w:p w:rsidR="00ED732D" w:rsidRPr="006A6553" w:rsidRDefault="004B6428" w:rsidP="004B6428">
      <w:pPr>
        <w:pStyle w:val="Sinespaciado"/>
      </w:pPr>
      <w:r w:rsidRPr="007F2441">
        <w:rPr>
          <w:rFonts w:cs="Arial"/>
          <w:b/>
          <w:color w:val="333333"/>
          <w:shd w:val="clear" w:color="auto" w:fill="FFFFFF"/>
        </w:rPr>
        <w:t xml:space="preserve">Artículo </w:t>
      </w:r>
      <w:r w:rsidR="00974B4F">
        <w:rPr>
          <w:rFonts w:cs="Arial"/>
          <w:b/>
          <w:color w:val="333333"/>
          <w:shd w:val="clear" w:color="auto" w:fill="FFFFFF"/>
        </w:rPr>
        <w:t>6</w:t>
      </w:r>
      <w:r w:rsidRPr="007F2441">
        <w:rPr>
          <w:rFonts w:cs="Arial"/>
          <w:b/>
          <w:color w:val="333333"/>
          <w:shd w:val="clear" w:color="auto" w:fill="FFFFFF"/>
        </w:rPr>
        <w:t xml:space="preserve">. </w:t>
      </w:r>
      <w:r w:rsidRPr="007F2441">
        <w:rPr>
          <w:rFonts w:eastAsiaTheme="minorHAnsi" w:cs="Arial"/>
          <w:color w:val="101010"/>
          <w:lang w:val="es-ES_tradnl"/>
          <w14:ligatures w14:val="standardContextual"/>
        </w:rPr>
        <w:t>La presente ley rige a partir de su promulgación y deroga las disposiciones que le sean contrarias.</w:t>
      </w:r>
    </w:p>
    <w:p w:rsidR="001E07F3" w:rsidRPr="00992397" w:rsidRDefault="001E07F3" w:rsidP="001E07F3">
      <w:pPr>
        <w:pStyle w:val="Sinespaciado"/>
        <w:rPr>
          <w:rFonts w:eastAsia="Arial" w:cs="Arial"/>
          <w:b/>
          <w:sz w:val="21"/>
          <w:szCs w:val="21"/>
        </w:rPr>
      </w:pPr>
    </w:p>
    <w:p w:rsidR="003206AC" w:rsidRPr="00992397" w:rsidRDefault="003206AC" w:rsidP="003206AC">
      <w:pPr>
        <w:pStyle w:val="Sinespaciado"/>
        <w:rPr>
          <w:rFonts w:eastAsia="Arial Narrow" w:cs="Arial"/>
          <w:sz w:val="21"/>
          <w:szCs w:val="21"/>
        </w:rPr>
      </w:pPr>
    </w:p>
    <w:p w:rsidR="003206AC" w:rsidRPr="00992397" w:rsidRDefault="003206AC" w:rsidP="003206AC">
      <w:pPr>
        <w:pStyle w:val="Sinespaciado"/>
        <w:rPr>
          <w:rFonts w:eastAsia="Arial Narrow" w:cs="Arial"/>
          <w:sz w:val="21"/>
          <w:szCs w:val="21"/>
        </w:rPr>
      </w:pPr>
    </w:p>
    <w:p w:rsidR="003206AC" w:rsidRPr="00992397" w:rsidRDefault="003206AC" w:rsidP="003206AC">
      <w:pPr>
        <w:pStyle w:val="Sinespaciado"/>
        <w:rPr>
          <w:rFonts w:eastAsia="Arial" w:cs="Arial"/>
          <w:b/>
          <w:color w:val="000000"/>
          <w:sz w:val="21"/>
          <w:szCs w:val="21"/>
        </w:rPr>
      </w:pPr>
      <w:r w:rsidRPr="00992397">
        <w:rPr>
          <w:rFonts w:eastAsia="Arial" w:cs="Arial"/>
          <w:b/>
          <w:color w:val="000000"/>
          <w:sz w:val="21"/>
          <w:szCs w:val="21"/>
        </w:rPr>
        <w:br/>
      </w:r>
    </w:p>
    <w:p w:rsidR="003206AC" w:rsidRPr="00992397" w:rsidRDefault="003206AC" w:rsidP="003206AC">
      <w:pPr>
        <w:pStyle w:val="Sinespaciado"/>
        <w:rPr>
          <w:rFonts w:eastAsia="Arial" w:cs="Arial"/>
          <w:b/>
          <w:color w:val="000000"/>
          <w:sz w:val="21"/>
          <w:szCs w:val="21"/>
        </w:rPr>
      </w:pPr>
    </w:p>
    <w:p w:rsidR="003206AC" w:rsidRPr="00992397" w:rsidRDefault="001E07F3" w:rsidP="009A64AC">
      <w:pPr>
        <w:pStyle w:val="Sinespaciado"/>
        <w:jc w:val="center"/>
        <w:rPr>
          <w:rFonts w:eastAsia="Arial" w:cs="Arial"/>
          <w:b/>
          <w:bCs/>
          <w:color w:val="000000"/>
          <w:sz w:val="21"/>
          <w:szCs w:val="21"/>
        </w:rPr>
      </w:pPr>
      <w:r w:rsidRPr="00992397">
        <w:rPr>
          <w:rFonts w:eastAsia="Arial" w:cs="Arial"/>
          <w:b/>
          <w:color w:val="000000"/>
          <w:sz w:val="21"/>
          <w:szCs w:val="21"/>
        </w:rPr>
        <w:t>Gerardo Yepes Caro</w:t>
      </w:r>
      <w:r w:rsidRPr="00992397">
        <w:rPr>
          <w:rFonts w:eastAsia="Arial" w:cs="Arial"/>
          <w:b/>
          <w:color w:val="000000"/>
          <w:sz w:val="21"/>
          <w:szCs w:val="21"/>
        </w:rPr>
        <w:tab/>
      </w:r>
      <w:r w:rsidRPr="00992397">
        <w:rPr>
          <w:rFonts w:eastAsia="Arial" w:cs="Arial"/>
          <w:b/>
          <w:color w:val="000000"/>
          <w:sz w:val="21"/>
          <w:szCs w:val="21"/>
        </w:rPr>
        <w:tab/>
      </w:r>
      <w:r w:rsidR="003206AC" w:rsidRPr="00992397">
        <w:rPr>
          <w:rFonts w:eastAsia="Arial" w:cs="Arial"/>
          <w:b/>
          <w:color w:val="000000"/>
          <w:sz w:val="21"/>
          <w:szCs w:val="21"/>
        </w:rPr>
        <w:tab/>
      </w:r>
      <w:r w:rsidR="003206AC" w:rsidRPr="00992397">
        <w:rPr>
          <w:rFonts w:eastAsia="Arial" w:cs="Arial"/>
          <w:b/>
          <w:color w:val="000000"/>
          <w:sz w:val="21"/>
          <w:szCs w:val="21"/>
        </w:rPr>
        <w:tab/>
      </w:r>
      <w:r w:rsidR="003206AC" w:rsidRPr="00992397">
        <w:rPr>
          <w:rFonts w:eastAsia="Arial" w:cs="Arial"/>
          <w:b/>
          <w:color w:val="000000"/>
          <w:sz w:val="21"/>
          <w:szCs w:val="21"/>
        </w:rPr>
        <w:tab/>
      </w:r>
      <w:r w:rsidR="003206AC" w:rsidRPr="00992397">
        <w:rPr>
          <w:rFonts w:eastAsia="Arial" w:cs="Arial"/>
          <w:b/>
          <w:color w:val="000000"/>
          <w:sz w:val="21"/>
          <w:szCs w:val="21"/>
        </w:rPr>
        <w:tab/>
      </w:r>
      <w:r w:rsidR="00974B4F">
        <w:rPr>
          <w:rFonts w:eastAsia="Arial" w:cs="Arial"/>
          <w:b/>
          <w:color w:val="000000"/>
          <w:sz w:val="21"/>
          <w:szCs w:val="21"/>
        </w:rPr>
        <w:t>Héctor David Chaparro Chaparro</w:t>
      </w:r>
    </w:p>
    <w:p w:rsidR="001E07F3" w:rsidRPr="00992397" w:rsidRDefault="001E07F3" w:rsidP="009A64AC">
      <w:pPr>
        <w:pStyle w:val="Sinespaciado"/>
        <w:jc w:val="center"/>
        <w:rPr>
          <w:rFonts w:eastAsia="Arial" w:cs="Arial"/>
          <w:color w:val="000000"/>
          <w:sz w:val="21"/>
          <w:szCs w:val="21"/>
        </w:rPr>
      </w:pPr>
      <w:r w:rsidRPr="00992397">
        <w:rPr>
          <w:rFonts w:eastAsia="Arial" w:cs="Arial"/>
          <w:color w:val="000000"/>
          <w:sz w:val="21"/>
          <w:szCs w:val="21"/>
        </w:rPr>
        <w:t>Presidente</w:t>
      </w:r>
      <w:r w:rsidRPr="00992397">
        <w:rPr>
          <w:rFonts w:eastAsia="Arial" w:cs="Arial"/>
          <w:color w:val="000000"/>
          <w:sz w:val="21"/>
          <w:szCs w:val="21"/>
        </w:rPr>
        <w:tab/>
      </w:r>
      <w:r w:rsidRPr="00992397">
        <w:rPr>
          <w:rFonts w:eastAsia="Arial" w:cs="Arial"/>
          <w:color w:val="000000"/>
          <w:sz w:val="21"/>
          <w:szCs w:val="21"/>
        </w:rPr>
        <w:tab/>
      </w:r>
      <w:r w:rsidR="003206AC" w:rsidRPr="00992397">
        <w:rPr>
          <w:rFonts w:eastAsia="Arial" w:cs="Arial"/>
          <w:color w:val="000000"/>
          <w:sz w:val="21"/>
          <w:szCs w:val="21"/>
        </w:rPr>
        <w:tab/>
        <w:t xml:space="preserve">                                   </w:t>
      </w:r>
      <w:r w:rsidR="003206AC" w:rsidRPr="00992397">
        <w:rPr>
          <w:rFonts w:eastAsia="Arial" w:cs="Arial"/>
          <w:color w:val="000000"/>
          <w:sz w:val="21"/>
          <w:szCs w:val="21"/>
        </w:rPr>
        <w:tab/>
      </w:r>
      <w:r w:rsidR="003206AC" w:rsidRPr="00992397">
        <w:rPr>
          <w:rFonts w:eastAsia="Arial" w:cs="Arial"/>
          <w:color w:val="000000"/>
          <w:sz w:val="21"/>
          <w:szCs w:val="21"/>
        </w:rPr>
        <w:tab/>
      </w:r>
      <w:r w:rsidRPr="00992397">
        <w:rPr>
          <w:rFonts w:eastAsia="Arial" w:cs="Arial"/>
          <w:color w:val="000000"/>
          <w:sz w:val="21"/>
          <w:szCs w:val="21"/>
        </w:rPr>
        <w:t>Ponente</w:t>
      </w:r>
      <w:r w:rsidR="00974B4F">
        <w:rPr>
          <w:rFonts w:eastAsia="Arial" w:cs="Arial"/>
          <w:color w:val="000000"/>
          <w:sz w:val="21"/>
          <w:szCs w:val="21"/>
        </w:rPr>
        <w:t xml:space="preserve"> Único</w:t>
      </w:r>
    </w:p>
    <w:p w:rsidR="001E07F3" w:rsidRPr="00992397" w:rsidRDefault="001E07F3" w:rsidP="009A64AC">
      <w:pPr>
        <w:pStyle w:val="Sinespaciado"/>
        <w:jc w:val="center"/>
        <w:rPr>
          <w:rFonts w:eastAsia="Arial" w:cs="Arial"/>
          <w:color w:val="000000"/>
          <w:sz w:val="21"/>
          <w:szCs w:val="21"/>
        </w:rPr>
      </w:pPr>
    </w:p>
    <w:p w:rsidR="001E07F3" w:rsidRPr="00992397" w:rsidRDefault="001E07F3" w:rsidP="009A64AC">
      <w:pPr>
        <w:pStyle w:val="Sinespaciado"/>
        <w:jc w:val="center"/>
        <w:rPr>
          <w:rFonts w:eastAsia="Arial" w:cs="Arial"/>
          <w:color w:val="000000"/>
          <w:sz w:val="21"/>
          <w:szCs w:val="21"/>
        </w:rPr>
      </w:pPr>
    </w:p>
    <w:p w:rsidR="001E07F3" w:rsidRPr="00992397" w:rsidRDefault="001E07F3" w:rsidP="009A64AC">
      <w:pPr>
        <w:pStyle w:val="Sinespaciado"/>
        <w:jc w:val="center"/>
        <w:rPr>
          <w:rFonts w:eastAsia="Arial" w:cs="Arial"/>
          <w:color w:val="000000"/>
          <w:sz w:val="21"/>
          <w:szCs w:val="21"/>
        </w:rPr>
      </w:pPr>
    </w:p>
    <w:p w:rsidR="001E07F3" w:rsidRPr="00992397" w:rsidRDefault="001E07F3" w:rsidP="009A64AC">
      <w:pPr>
        <w:pStyle w:val="Sinespaciado"/>
        <w:jc w:val="center"/>
        <w:rPr>
          <w:rFonts w:eastAsia="Arial" w:cs="Arial"/>
          <w:color w:val="000000"/>
          <w:sz w:val="21"/>
          <w:szCs w:val="21"/>
        </w:rPr>
      </w:pPr>
      <w:bookmarkStart w:id="0" w:name="_GoBack"/>
      <w:bookmarkEnd w:id="0"/>
    </w:p>
    <w:p w:rsidR="001E07F3" w:rsidRPr="00992397" w:rsidRDefault="001E07F3" w:rsidP="009A64AC">
      <w:pPr>
        <w:pStyle w:val="Sinespaciado"/>
        <w:jc w:val="center"/>
        <w:rPr>
          <w:rFonts w:eastAsia="Arial" w:cs="Arial"/>
          <w:color w:val="000000"/>
          <w:sz w:val="21"/>
          <w:szCs w:val="21"/>
        </w:rPr>
      </w:pPr>
    </w:p>
    <w:p w:rsidR="003206AC" w:rsidRPr="00992397" w:rsidRDefault="001E07F3" w:rsidP="009A64AC">
      <w:pPr>
        <w:pStyle w:val="Sinespaciado"/>
        <w:jc w:val="center"/>
        <w:rPr>
          <w:rFonts w:eastAsia="Arial" w:cs="Arial"/>
          <w:b/>
          <w:color w:val="000000"/>
          <w:sz w:val="21"/>
          <w:szCs w:val="21"/>
        </w:rPr>
      </w:pPr>
      <w:r w:rsidRPr="00992397">
        <w:rPr>
          <w:rFonts w:eastAsia="Arial" w:cs="Arial"/>
          <w:b/>
          <w:color w:val="000000"/>
          <w:sz w:val="21"/>
          <w:szCs w:val="21"/>
        </w:rPr>
        <w:t>Ricardo Alfonso Albornoz Barreto</w:t>
      </w:r>
    </w:p>
    <w:p w:rsidR="004D631D" w:rsidRPr="00992397" w:rsidRDefault="001E07F3" w:rsidP="009A64AC">
      <w:pPr>
        <w:pStyle w:val="Sinespaciado"/>
        <w:jc w:val="center"/>
        <w:rPr>
          <w:rFonts w:eastAsia="Arial"/>
          <w:color w:val="000000"/>
        </w:rPr>
      </w:pPr>
      <w:r w:rsidRPr="00992397">
        <w:rPr>
          <w:rFonts w:eastAsia="Arial" w:cs="Arial"/>
          <w:color w:val="000000"/>
          <w:sz w:val="21"/>
          <w:szCs w:val="21"/>
        </w:rPr>
        <w:t>Secretario</w:t>
      </w:r>
    </w:p>
    <w:sectPr w:rsidR="004D631D" w:rsidRPr="00992397" w:rsidSect="00992397">
      <w:headerReference w:type="default" r:id="rId9"/>
      <w:footerReference w:type="default" r:id="rId10"/>
      <w:type w:val="continuous"/>
      <w:pgSz w:w="12240" w:h="15840" w:code="1"/>
      <w:pgMar w:top="1701" w:right="1021" w:bottom="624" w:left="158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A2C" w:rsidRDefault="00D16A2C">
      <w:pPr>
        <w:spacing w:after="0" w:line="240" w:lineRule="auto"/>
      </w:pPr>
      <w:r>
        <w:separator/>
      </w:r>
    </w:p>
  </w:endnote>
  <w:endnote w:type="continuationSeparator" w:id="0">
    <w:p w:rsidR="00D16A2C" w:rsidRDefault="00D1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MT">
    <w:altName w:val="Arial"/>
    <w:charset w:val="01"/>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677755">
      <w:rPr>
        <w:rFonts w:ascii="Arial" w:hAnsi="Arial" w:cs="Arial"/>
        <w:color w:val="4F81BD" w:themeColor="accent1"/>
        <w:sz w:val="16"/>
        <w:szCs w:val="16"/>
        <w:lang w:val="es-ES"/>
      </w:rPr>
      <w:t>508</w:t>
    </w:r>
    <w:r>
      <w:rPr>
        <w:rFonts w:ascii="Arial" w:hAnsi="Arial" w:cs="Arial"/>
        <w:color w:val="4F81BD" w:themeColor="accent1"/>
        <w:sz w:val="16"/>
        <w:szCs w:val="16"/>
        <w:lang w:val="es-ES"/>
      </w:rPr>
      <w:t xml:space="preserve"> de 202</w:t>
    </w:r>
    <w:r w:rsidR="00677755">
      <w:rPr>
        <w:rFonts w:ascii="Arial" w:hAnsi="Arial" w:cs="Arial"/>
        <w:color w:val="4F81BD" w:themeColor="accent1"/>
        <w:sz w:val="16"/>
        <w:szCs w:val="16"/>
        <w:lang w:val="es-ES"/>
      </w:rPr>
      <w:t>5</w:t>
    </w:r>
    <w:r>
      <w:rPr>
        <w:rFonts w:ascii="Arial" w:hAnsi="Arial" w:cs="Arial"/>
        <w:color w:val="4F81BD" w:themeColor="accent1"/>
        <w:sz w:val="16"/>
        <w:szCs w:val="16"/>
        <w:lang w:val="es-ES"/>
      </w:rPr>
      <w:t xml:space="preserve">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9A64AC" w:rsidRPr="009A64AC">
      <w:rPr>
        <w:rFonts w:ascii="Arial" w:hAnsi="Arial" w:cs="Arial"/>
        <w:noProof/>
        <w:color w:val="4F81BD" w:themeColor="accent1"/>
        <w:sz w:val="16"/>
        <w:szCs w:val="16"/>
        <w:lang w:val="es-ES"/>
      </w:rPr>
      <w:t>1</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9A64AC" w:rsidRPr="009A64AC">
      <w:rPr>
        <w:rFonts w:ascii="Arial" w:hAnsi="Arial" w:cs="Arial"/>
        <w:noProof/>
        <w:color w:val="4F81BD" w:themeColor="accent1"/>
        <w:sz w:val="16"/>
        <w:szCs w:val="16"/>
        <w:lang w:val="es-ES"/>
      </w:rPr>
      <w:t>2</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A2C" w:rsidRDefault="00D16A2C">
      <w:pPr>
        <w:spacing w:after="0" w:line="240" w:lineRule="auto"/>
      </w:pPr>
      <w:r>
        <w:separator/>
      </w:r>
    </w:p>
  </w:footnote>
  <w:footnote w:type="continuationSeparator" w:id="0">
    <w:p w:rsidR="00D16A2C" w:rsidRDefault="00D16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4BA1854"/>
    <w:multiLevelType w:val="multilevel"/>
    <w:tmpl w:val="0CD00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711EE6"/>
    <w:multiLevelType w:val="multilevel"/>
    <w:tmpl w:val="18DC04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8"/>
  </w:num>
  <w:num w:numId="5">
    <w:abstractNumId w:val="8"/>
  </w:num>
  <w:num w:numId="6">
    <w:abstractNumId w:val="10"/>
  </w:num>
  <w:num w:numId="7">
    <w:abstractNumId w:val="1"/>
  </w:num>
  <w:num w:numId="8">
    <w:abstractNumId w:val="7"/>
  </w:num>
  <w:num w:numId="9">
    <w:abstractNumId w:val="22"/>
  </w:num>
  <w:num w:numId="10">
    <w:abstractNumId w:val="12"/>
  </w:num>
  <w:num w:numId="11">
    <w:abstractNumId w:val="3"/>
  </w:num>
  <w:num w:numId="12">
    <w:abstractNumId w:val="23"/>
  </w:num>
  <w:num w:numId="13">
    <w:abstractNumId w:val="19"/>
  </w:num>
  <w:num w:numId="14">
    <w:abstractNumId w:val="21"/>
  </w:num>
  <w:num w:numId="15">
    <w:abstractNumId w:val="15"/>
  </w:num>
  <w:num w:numId="16">
    <w:abstractNumId w:val="6"/>
  </w:num>
  <w:num w:numId="17">
    <w:abstractNumId w:val="13"/>
  </w:num>
  <w:num w:numId="18">
    <w:abstractNumId w:val="4"/>
  </w:num>
  <w:num w:numId="19">
    <w:abstractNumId w:val="11"/>
  </w:num>
  <w:num w:numId="20">
    <w:abstractNumId w:val="24"/>
  </w:num>
  <w:num w:numId="21">
    <w:abstractNumId w:val="20"/>
  </w:num>
  <w:num w:numId="22">
    <w:abstractNumId w:val="0"/>
  </w:num>
  <w:num w:numId="23">
    <w:abstractNumId w:val="14"/>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06060"/>
    <w:rsid w:val="000135D0"/>
    <w:rsid w:val="000218A0"/>
    <w:rsid w:val="00035A12"/>
    <w:rsid w:val="000A1C35"/>
    <w:rsid w:val="000D0321"/>
    <w:rsid w:val="000D4049"/>
    <w:rsid w:val="000D59FE"/>
    <w:rsid w:val="000F3249"/>
    <w:rsid w:val="000F3F41"/>
    <w:rsid w:val="00102AC9"/>
    <w:rsid w:val="00106067"/>
    <w:rsid w:val="001303C3"/>
    <w:rsid w:val="00134E23"/>
    <w:rsid w:val="00141A7E"/>
    <w:rsid w:val="00145732"/>
    <w:rsid w:val="00146C64"/>
    <w:rsid w:val="00180E10"/>
    <w:rsid w:val="001826C3"/>
    <w:rsid w:val="00193E1C"/>
    <w:rsid w:val="001B1C28"/>
    <w:rsid w:val="001B6E7B"/>
    <w:rsid w:val="001C10AB"/>
    <w:rsid w:val="001C6DF6"/>
    <w:rsid w:val="001E07F3"/>
    <w:rsid w:val="001F7A2A"/>
    <w:rsid w:val="00217B1E"/>
    <w:rsid w:val="00227978"/>
    <w:rsid w:val="00245986"/>
    <w:rsid w:val="00273C01"/>
    <w:rsid w:val="00290644"/>
    <w:rsid w:val="002A1BAF"/>
    <w:rsid w:val="002C21DA"/>
    <w:rsid w:val="002E6C1D"/>
    <w:rsid w:val="003206AC"/>
    <w:rsid w:val="00330383"/>
    <w:rsid w:val="00332B24"/>
    <w:rsid w:val="00344B4D"/>
    <w:rsid w:val="00374FCF"/>
    <w:rsid w:val="00375224"/>
    <w:rsid w:val="00392FE1"/>
    <w:rsid w:val="003B3F8A"/>
    <w:rsid w:val="003C3541"/>
    <w:rsid w:val="003C5D20"/>
    <w:rsid w:val="003D08DE"/>
    <w:rsid w:val="00401837"/>
    <w:rsid w:val="004245B0"/>
    <w:rsid w:val="00484475"/>
    <w:rsid w:val="0049721E"/>
    <w:rsid w:val="004B0124"/>
    <w:rsid w:val="004B6428"/>
    <w:rsid w:val="004D5A5F"/>
    <w:rsid w:val="004D631D"/>
    <w:rsid w:val="004F0BC8"/>
    <w:rsid w:val="005004BD"/>
    <w:rsid w:val="00523CF6"/>
    <w:rsid w:val="00533F5F"/>
    <w:rsid w:val="00545AF9"/>
    <w:rsid w:val="0057061D"/>
    <w:rsid w:val="005970FF"/>
    <w:rsid w:val="005B79B2"/>
    <w:rsid w:val="005C4915"/>
    <w:rsid w:val="006020FC"/>
    <w:rsid w:val="00644D12"/>
    <w:rsid w:val="00645D96"/>
    <w:rsid w:val="0066551C"/>
    <w:rsid w:val="00676A02"/>
    <w:rsid w:val="00677755"/>
    <w:rsid w:val="00697B3A"/>
    <w:rsid w:val="006A6E00"/>
    <w:rsid w:val="006A6E52"/>
    <w:rsid w:val="006D531F"/>
    <w:rsid w:val="006E594C"/>
    <w:rsid w:val="00703BB5"/>
    <w:rsid w:val="007129CE"/>
    <w:rsid w:val="00722B7D"/>
    <w:rsid w:val="00745DA4"/>
    <w:rsid w:val="00751A35"/>
    <w:rsid w:val="007534E3"/>
    <w:rsid w:val="00767847"/>
    <w:rsid w:val="00780935"/>
    <w:rsid w:val="00793F4D"/>
    <w:rsid w:val="007D2959"/>
    <w:rsid w:val="007D2F62"/>
    <w:rsid w:val="007D3C92"/>
    <w:rsid w:val="007F0D11"/>
    <w:rsid w:val="0080316C"/>
    <w:rsid w:val="0083265E"/>
    <w:rsid w:val="00856BE4"/>
    <w:rsid w:val="008571E9"/>
    <w:rsid w:val="008654CA"/>
    <w:rsid w:val="00874E4E"/>
    <w:rsid w:val="008A36E1"/>
    <w:rsid w:val="008A4907"/>
    <w:rsid w:val="008A4A9B"/>
    <w:rsid w:val="008C5481"/>
    <w:rsid w:val="008E2412"/>
    <w:rsid w:val="008E689B"/>
    <w:rsid w:val="008F518D"/>
    <w:rsid w:val="00900D93"/>
    <w:rsid w:val="00931B69"/>
    <w:rsid w:val="00974B4F"/>
    <w:rsid w:val="00980D46"/>
    <w:rsid w:val="00984A08"/>
    <w:rsid w:val="00992397"/>
    <w:rsid w:val="009A5477"/>
    <w:rsid w:val="009A64AC"/>
    <w:rsid w:val="009B5502"/>
    <w:rsid w:val="009E1B8B"/>
    <w:rsid w:val="009E3F42"/>
    <w:rsid w:val="00A10DC4"/>
    <w:rsid w:val="00A16412"/>
    <w:rsid w:val="00A260C7"/>
    <w:rsid w:val="00A27D65"/>
    <w:rsid w:val="00A549FD"/>
    <w:rsid w:val="00A5673E"/>
    <w:rsid w:val="00AA5167"/>
    <w:rsid w:val="00AC09C4"/>
    <w:rsid w:val="00AC2952"/>
    <w:rsid w:val="00AF4493"/>
    <w:rsid w:val="00AF47C1"/>
    <w:rsid w:val="00B31264"/>
    <w:rsid w:val="00B4204B"/>
    <w:rsid w:val="00B47081"/>
    <w:rsid w:val="00B57363"/>
    <w:rsid w:val="00B61831"/>
    <w:rsid w:val="00B65CAC"/>
    <w:rsid w:val="00B94C52"/>
    <w:rsid w:val="00BA2504"/>
    <w:rsid w:val="00BA6354"/>
    <w:rsid w:val="00BD3B0E"/>
    <w:rsid w:val="00BF038C"/>
    <w:rsid w:val="00BF32C7"/>
    <w:rsid w:val="00BF5872"/>
    <w:rsid w:val="00BF5DE4"/>
    <w:rsid w:val="00C04298"/>
    <w:rsid w:val="00C0783C"/>
    <w:rsid w:val="00C10A0F"/>
    <w:rsid w:val="00C24F1B"/>
    <w:rsid w:val="00C25E24"/>
    <w:rsid w:val="00C64587"/>
    <w:rsid w:val="00C85EE9"/>
    <w:rsid w:val="00CA7A0C"/>
    <w:rsid w:val="00D16302"/>
    <w:rsid w:val="00D16A2C"/>
    <w:rsid w:val="00D410FE"/>
    <w:rsid w:val="00D65C9D"/>
    <w:rsid w:val="00D7060A"/>
    <w:rsid w:val="00D7787B"/>
    <w:rsid w:val="00DC1FF5"/>
    <w:rsid w:val="00E02D4A"/>
    <w:rsid w:val="00E2082D"/>
    <w:rsid w:val="00E27292"/>
    <w:rsid w:val="00E62BF1"/>
    <w:rsid w:val="00EB3579"/>
    <w:rsid w:val="00ED4980"/>
    <w:rsid w:val="00ED732D"/>
    <w:rsid w:val="00EF5B1B"/>
    <w:rsid w:val="00F04E2C"/>
    <w:rsid w:val="00F25E2F"/>
    <w:rsid w:val="00F42CA9"/>
    <w:rsid w:val="00F50D3E"/>
    <w:rsid w:val="00F66F0B"/>
    <w:rsid w:val="00F67029"/>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2B39"/>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6B7D32-879F-4070-A853-93F31D58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642</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7</cp:revision>
  <cp:lastPrinted>2025-06-03T22:42:00Z</cp:lastPrinted>
  <dcterms:created xsi:type="dcterms:W3CDTF">2025-06-03T22:30:00Z</dcterms:created>
  <dcterms:modified xsi:type="dcterms:W3CDTF">2025-06-03T22:45:00Z</dcterms:modified>
</cp:coreProperties>
</file>